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Project Initiation Document</w:t>
      </w:r>
    </w:p>
    <w:p>
      <w:pPr>
        <w:spacing w:after="120"/>
      </w:pPr>
      <w:r>
        <w:rPr>
          <w:color w:val="64748B"/>
          <w:sz w:val="22"/>
          <w:szCs w:val="22"/>
        </w:rPr>
        <w:t xml:space="preserve">A PRINCE2-style PID — the contract between the project board and the project manager: what will be done, by whom, how, and within what limits.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Project name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/>
            </w:r>
          </w:p>
        </w:tc>
      </w:tr>
    </w:tbl>
    <w:p>
      <w:pPr>
        <w:spacing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100"/>
        <w:gridCol w:w="1800"/>
        <w:gridCol w:w="2426"/>
      </w:tblGrid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Author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Date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Version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Status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spacing w:after="160"/>
      </w:pPr>
    </w:p>
    <w:p>
      <w:pPr>
        <w:pStyle w:val="Heading2"/>
      </w:pPr>
      <w:r>
        <w:t xml:space="preserve">1. Purpose</w:t>
      </w:r>
    </w:p>
    <w:p>
      <w:pPr>
        <w:spacing w:after="160"/>
      </w:pPr>
      <w:r>
        <w:rPr>
          <w:i/>
          <w:iCs/>
          <w:color w:val="64748B"/>
        </w:rPr>
        <w:t xml:space="preserve">One or two sentences: what this document is for and what the project will deliver.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Style w:val="Heading2"/>
      </w:pPr>
      <w:r>
        <w:t xml:space="preserve">2. Project definition</w:t>
      </w:r>
    </w:p>
    <w:p>
      <w:pPr>
        <w:spacing w:after="160"/>
      </w:pPr>
      <w:r>
        <w:rPr>
          <w:i/>
          <w:iCs/>
          <w:color w:val="64748B"/>
        </w:rPr>
        <w:t xml:space="preserve">Objectives, scope (in and out), deliverables, constraints, assumptions, and interfaces with other projects or business-as-usual.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Style w:val="Heading2"/>
      </w:pPr>
      <w:r>
        <w:t xml:space="preserve">3. Business case summary</w:t>
      </w:r>
    </w:p>
    <w:p>
      <w:pPr>
        <w:spacing w:after="160"/>
      </w:pPr>
      <w:r>
        <w:rPr>
          <w:i/>
          <w:iCs/>
          <w:color w:val="64748B"/>
        </w:rPr>
        <w:t xml:space="preserve">Why the project remains worth doing: benefits, costs, timescale. Reference the full business case if held separately.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Style w:val="Heading2"/>
      </w:pPr>
      <w:r>
        <w:t xml:space="preserve">4. Project organisation</w:t>
      </w:r>
    </w:p>
    <w:p>
      <w:pPr>
        <w:spacing w:after="160"/>
      </w:pPr>
      <w:r>
        <w:rPr>
          <w:i/>
          <w:iCs/>
          <w:color w:val="64748B"/>
        </w:rPr>
        <w:t xml:space="preserve">The project board (Executive, Senior User, Senior Supplier), Project Manager, and any assurance, change authority or support roles.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700"/>
        <w:gridCol w:w="3626"/>
      </w:tblGrid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Role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Responsibility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pStyle w:val="Heading2"/>
      </w:pPr>
      <w:r>
        <w:t xml:space="preserve">5. Project plan</w:t>
      </w:r>
    </w:p>
    <w:p>
      <w:pPr>
        <w:spacing w:after="160"/>
      </w:pPr>
      <w:r>
        <w:rPr>
          <w:i/>
          <w:iCs/>
          <w:color w:val="64748B"/>
        </w:rPr>
        <w:t xml:space="preserve">The stages, what each delivers, and the dates and budget for each. Delivery happens a stage at a time — the board authorises each stage.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226"/>
        <w:gridCol w:w="1200"/>
        <w:gridCol w:w="1200"/>
        <w:gridCol w:w="120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Stage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Key deliverables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Start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End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Budget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pStyle w:val="Heading2"/>
      </w:pPr>
      <w:r>
        <w:t xml:space="preserve">6. Quality approach</w:t>
      </w:r>
    </w:p>
    <w:p>
      <w:pPr>
        <w:spacing w:after="160"/>
      </w:pPr>
      <w:r>
        <w:rPr>
          <w:i/>
          <w:iCs/>
          <w:color w:val="64748B"/>
        </w:rPr>
        <w:t xml:space="preserve">How you will define and check quality: acceptance criteria, who reviews what, and when.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Style w:val="Heading2"/>
      </w:pPr>
      <w:r>
        <w:t xml:space="preserve">7. Risk approach</w:t>
      </w:r>
    </w:p>
    <w:p>
      <w:pPr>
        <w:spacing w:after="160"/>
      </w:pPr>
      <w:r>
        <w:rPr>
          <w:i/>
          <w:iCs/>
          <w:color w:val="64748B"/>
        </w:rPr>
        <w:t xml:space="preserve">How risks are identified, scored (e.g. probability × impact on a 1–5 scale), owned and reviewed. Keep the register itself as a separate living document.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Style w:val="Heading2"/>
      </w:pPr>
      <w:r>
        <w:t xml:space="preserve">8. Communication approach</w:t>
      </w:r>
    </w:p>
    <w:p>
      <w:pPr>
        <w:spacing w:after="160"/>
      </w:pPr>
      <w:r>
        <w:rPr>
          <w:i/>
          <w:iCs/>
          <w:color w:val="64748B"/>
        </w:rPr>
        <w:t xml:space="preserve">Who needs to know what, how often, and in what form — board reports, team updates, stakeholder messages.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800"/>
        <w:gridCol w:w="1600"/>
        <w:gridCol w:w="2226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Audience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What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How often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Format / channel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pStyle w:val="Heading2"/>
      </w:pPr>
      <w:r>
        <w:t xml:space="preserve">9. Project controls</w:t>
      </w:r>
    </w:p>
    <w:p>
      <w:pPr>
        <w:spacing w:after="160"/>
      </w:pPr>
      <w:r>
        <w:rPr>
          <w:i/>
          <w:iCs/>
          <w:color w:val="64748B"/>
        </w:rPr>
        <w:t xml:space="preserve">Tolerances for time, cost, quality, scope, benefits and risk; reporting cadence; and what triggers an exception to the board.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2200"/>
        <w:gridCol w:w="24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Control area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Tolerance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Reporting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Escalation trigger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pStyle w:val="Heading2"/>
      </w:pPr>
      <w:r>
        <w:t xml:space="preserve">10. Tailoring</w:t>
      </w:r>
    </w:p>
    <w:p>
      <w:pPr>
        <w:spacing w:after="160"/>
      </w:pPr>
      <w:r>
        <w:rPr>
          <w:i/>
          <w:iCs/>
          <w:color w:val="64748B"/>
        </w:rPr>
        <w:t xml:space="preserve">Where you have deliberately simplified the method for this project’s size and risk — and why that is safe.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r>
      <w:rPr>
        <w:color w:val="64748B"/>
        <w:sz w:val="14"/>
        <w:szCs w:val="14"/>
      </w:rPr>
      <w:t xml:space="preserve">A free PRINCE2-style template from Guddle — guddle.net. PRINCE2® is a registered trade mark of the PeopleCert group of companies. Guddle is an independent product, not affiliated with or endorsed by PeopleCert.</w:t>
    </w:r>
  </w:p>
  <w:p>
    <w:r>
      <w:rPr>
        <w:color w:val="64748B"/>
        <w:sz w:val="14"/>
        <w:szCs w:val="14"/>
      </w:rPr>
      <w:t xml:space="preserve">Page </w:t>
    </w:r>
    <w:r>
      <w:rPr>
        <w:color w:val="64748B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0"/>
      <w:outlineLvl w:val="0"/>
    </w:pPr>
    <w:rPr>
      <w:rFonts w:ascii="Arial" w:cs="Arial" w:eastAsia="Arial" w:hAnsi="Arial"/>
      <w:b/>
      <w:bCs/>
      <w:color w:val="0A5F73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00" w:before="280"/>
      <w:outlineLvl w:val="1"/>
    </w:pPr>
    <w:rPr>
      <w:rFonts w:ascii="Arial" w:cs="Arial" w:eastAsia="Arial" w:hAnsi="Arial"/>
      <w:b/>
      <w:bCs/>
      <w:color w:val="0E7E97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2026-07-09T09:30:19.316Z</dcterms:created>
  <dcterms:modified xsi:type="dcterms:W3CDTF">2026-07-09T09:30:19.316Z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